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A4D">
      <w:pPr>
        <w:widowControl w:val="0"/>
        <w:spacing w:before="108" w:after="108"/>
        <w:jc w:val="center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Федеральный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05.04.2013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44-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нужд»</w:t>
      </w:r>
    </w:p>
    <w:p w:rsidR="00000000" w:rsidRDefault="00B12A4D">
      <w:pPr>
        <w:widowControl w:val="0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0" w:name="_GoBack"/>
      <w:bookmarkEnd w:id="0"/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вступил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Федеральный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05.04.2013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1)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предусматривает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принципиально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подход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функционированию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2)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урегулирован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только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один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регламентированы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эффективности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перечисленное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сопровождаться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сквозным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мониторингом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контролем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аудитом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предусматривает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очень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широкий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коснется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повлияет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инфраструктуру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обслуживающую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изменения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касающиеся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заказчиков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1.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предполагает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гораздо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документооборота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сравнен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осуществлялся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Федерального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21.07.2005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94-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трехлетние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промежуточные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итоговые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отчеты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увеличен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расширен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сведений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3).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исходя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>13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достижение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реализация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мероприятий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программами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различных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уровней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международных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трехлетний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финансовый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постановления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21.11.2013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1043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ведению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услуг»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21.11.2013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1044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ведению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нормативные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правовые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вступают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ляться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правилам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Согласно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заключительному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112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ЕИС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ввода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эксплуатацию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правилам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действова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вшим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вступления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данного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особенностей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нормативное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правовое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регулирование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правоприменительные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кассовому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обслуживанию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4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особенности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совместным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приказом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Минэкономразвития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казначейства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сентября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544/18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подлежат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календарного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месяца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сегодняшний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Республики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Мордовия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2015-2016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декабря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содержит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),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определяемом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111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шению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приказом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761/20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наименовании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 "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______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отражением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формируется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",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Общероссийского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классификатора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территорий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ОКТМО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  <w:bookmarkStart w:id="1" w:name="sub_22"/>
    </w:p>
    <w:bookmarkEnd w:id="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КБК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содержащий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сектора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относящийся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расходам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" w:name="sub_8"/>
    </w:p>
    <w:bookmarkEnd w:id="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Общероссийского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классификатора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экономической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ОКВЭД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Общероссийского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классификатора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продукции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экономической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ОКПД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подкласса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группы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подгруппы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" w:name="sub_9"/>
    </w:p>
    <w:bookmarkEnd w:id="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вместо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Общероссийского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классификатора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экономической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продукции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ОКДП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ОКПД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подкласса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группы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подгруппы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" w:name="sub_10"/>
    </w:p>
    <w:bookmarkEnd w:id="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порядковый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осуществляемой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пределах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календарного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присваиваемый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последовательно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зависимости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сквозной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нумера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цией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начинающейся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единицы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наименование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являющихся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выделяются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раздельно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" w:name="sub_12"/>
    </w:p>
    <w:bookmarkEnd w:id="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6:</w:t>
      </w:r>
      <w:bookmarkStart w:id="6" w:name="sub_13"/>
    </w:p>
    <w:bookmarkEnd w:id="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минимально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предъявляемые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могут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функциональные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технические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качественные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эксплуатационные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характеристики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поставляемых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выполняемых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оказываемых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потребностям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позволяющие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идентифицировать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международные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непатентованные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наименования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лекарственных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наименований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химические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группировочные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наименования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лекарственные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запреты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допуск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допуска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запретов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предоставляемые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преимущества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28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УИС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преимуществ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лнительные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частью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устанавливать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финансовых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ресурсов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; 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собственности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оборудования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других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материальных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ресурсов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; 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опыта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связанного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деловой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репутации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; 4)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специалисто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уровня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квалификации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только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малого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социально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ориентированных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некоммерческих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общественном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обсуждении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7" w:name="sub_14"/>
      <w:r>
        <w:rPr>
          <w:rFonts w:eastAsia="Arial Unicode MS" w:hAnsi="Arial Unicode MS"/>
          <w:color w:val="000000"/>
          <w:sz w:val="32"/>
          <w:u w:color="000000"/>
          <w:lang w:val="ru-RU"/>
        </w:rPr>
        <w:t>ж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7 -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единицы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измерения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являющихс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Общероссийским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измерения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ОКЕИ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измерен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bookmarkEnd w:id="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8 -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являющихся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единицами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измерения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8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символ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"/"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чество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измерен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  <w:bookmarkStart w:id="8" w:name="sub_15"/>
    </w:p>
    <w:bookmarkEnd w:id="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пределяется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требованиями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символ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"/"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выплат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техническому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обслуживанию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ремонту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оборудования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медицинских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образовательных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питания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переводчика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перевозкам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грузов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пассажиров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багажа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гостиничных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невозможно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подлежащих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запасных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запасной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оборудованию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единицы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символ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"/"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оплаты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9" w:name="sub_16"/>
    </w:p>
    <w:bookmarkEnd w:id="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символ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"/"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аванса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процентах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предполагается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11 -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0" w:name="sub_18"/>
    </w:p>
    <w:bookmarkEnd w:id="1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12 -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поэтапное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оплата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периодичная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ичность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ежедневно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еженедельно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месяц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ежемесячно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ежеквартально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  <w:bookmarkStart w:id="11" w:name="sub_19"/>
    </w:p>
    <w:bookmarkEnd w:id="1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13 -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  <w:bookmarkStart w:id="12" w:name="sub_21"/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14 -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ссылкой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примечаний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(15.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bookmarkEnd w:id="1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10%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приобретению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выявленные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конкретного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вследствие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невозможно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3" w:name="sub_2151"/>
    </w:p>
    <w:bookmarkEnd w:id="1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приобретения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4" w:name="sub_1502"/>
    </w:p>
    <w:bookmarkEnd w:id="1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отмены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5" w:name="sub_1503"/>
    </w:p>
    <w:bookmarkEnd w:id="1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4)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образовавшейся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экономии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финансовом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ассигнований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6" w:name="sub_1504"/>
    </w:p>
    <w:bookmarkEnd w:id="1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5)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возникновении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обстоятельств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предвидеть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невоз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7" w:name="sub_1505"/>
    </w:p>
    <w:bookmarkEnd w:id="1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6)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предписания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контроля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местн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самоуправления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устранении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нарушения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аннулировании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торгов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18" w:name="sub_26"/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83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1, 5, 9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перечисленных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bookmarkEnd w:id="1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преподавательские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оказываемые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физическими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19" w:name="sub_23"/>
    </w:p>
    <w:bookmarkEnd w:id="1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экскурсовода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гида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оказываемые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физическими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0" w:name="sub_24"/>
    </w:p>
    <w:bookmarkEnd w:id="2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лекарственные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препараты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1" w:name="sub_25"/>
    </w:p>
    <w:bookmarkEnd w:id="2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4)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1, 9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классификации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перечисленных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  <w:bookmarkStart w:id="22" w:name="sub_29"/>
    </w:p>
    <w:bookmarkEnd w:id="2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превышающую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тысяч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3" w:name="sub_27"/>
    </w:p>
    <w:bookmarkEnd w:id="2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превышающую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четырехсот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тысяч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4" w:name="sub_28"/>
    </w:p>
    <w:bookmarkEnd w:id="2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5)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итоговая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):</w:t>
      </w:r>
      <w:bookmarkStart w:id="25" w:name="sub_35"/>
    </w:p>
    <w:bookmarkEnd w:id="2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6" w:name="sub_30"/>
    </w:p>
    <w:bookmarkEnd w:id="2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7" w:name="sub_31"/>
    </w:p>
    <w:bookmarkEnd w:id="2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малого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социально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ориентированных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некомм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8" w:name="sub_32"/>
    </w:p>
    <w:bookmarkEnd w:id="2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29" w:name="sub_33"/>
    </w:p>
    <w:bookmarkEnd w:id="2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символ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"/"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выплат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0" w:name="sub_34"/>
    </w:p>
    <w:bookmarkEnd w:id="3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6)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календарного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текущем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остальные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столбцы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заполняются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31" w:name="sub_37"/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7)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нижнем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углу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указывается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ответственный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мирование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уполномоченного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фамилия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инициалы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телефон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факс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адрес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почты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bookmarkEnd w:id="3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десять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календарных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hyperlink w:anchor="sub_40" w:history="1"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пункте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 xml:space="preserve"> 7</w:t>
        </w:r>
      </w:hyperlink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Особенностей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N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десять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календарных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контрактную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службу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5).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100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млн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руб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вместо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назначить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ответственное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назначить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сотрудником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только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сотрудника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имеющего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высшее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профессиональное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Согласно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заключительному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112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2017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имеющее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профессиональное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профессиональное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сотрудников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прошедших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обучение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проходил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обучение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кандидатов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рудники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обучены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bookmarkStart w:id="32" w:name="sub_382"/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Нормативными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правовыми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актами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регламентирующими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/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9)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Трудовой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кодекс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трудовых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отношений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/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приказом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Минэкономразвития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октября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631;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разработанный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;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разработанным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локальные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правовые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Варианты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6)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постоянного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выполняющих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численность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возглавляет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возглавляет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руководитель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назначаемый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приказом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подразделения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возглавляет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один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заместителей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повышения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эффективности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структуры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персональную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ответственность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распределяя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функциональные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между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регламентом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ановлено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могут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7)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лицо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ответственное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нескольких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каждого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сотрудника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перевести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трудовой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договор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совместительству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соглашение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совмещении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управляющих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относиться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обслуживание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цикла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приемки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принципиально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подход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закупочной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позаимствованный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зарубежной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практики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8).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bookmarkEnd w:id="3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Подпункт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13 </w:t>
      </w:r>
      <w:hyperlink w:anchor="sub_2" w:history="1"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вступает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 xml:space="preserve"> 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в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 xml:space="preserve"> 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силу</w:t>
        </w:r>
      </w:hyperlink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2015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 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33" w:name="sub_39"/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разрабатывает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bookmarkEnd w:id="3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телекоммуникационной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Интернет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"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опубликовывает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любых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печатных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изданиях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частью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4" w:name="sub_40"/>
    </w:p>
    <w:bookmarkEnd w:id="3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5" w:name="sub_41"/>
    </w:p>
    <w:bookmarkEnd w:id="3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разрабатывает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6" w:name="sub_43"/>
    </w:p>
    <w:bookmarkEnd w:id="3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начальную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заключаемого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формировании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37" w:name="sub_44"/>
    </w:p>
    <w:bookmarkEnd w:id="3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2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):</w:t>
      </w:r>
      <w:bookmarkStart w:id="38" w:name="sub_70"/>
    </w:p>
    <w:bookmarkEnd w:id="3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выбирает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  <w:bookmarkStart w:id="39" w:name="sub_46"/>
    </w:p>
    <w:bookmarkEnd w:id="3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уточняет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рамках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конкурсной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уточняет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рамках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заключаемого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описания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0" w:name="sub_49"/>
    </w:p>
    <w:bookmarkEnd w:id="4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протоколов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1" w:name="sub_50"/>
    </w:p>
    <w:bookmarkEnd w:id="4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описания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ж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организационно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техническое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обеспечение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проверку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  <w:bookmarkStart w:id="42" w:name="sub_52"/>
    </w:p>
    <w:bookmarkEnd w:id="4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являющихся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правомочности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непроведения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ликвидации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арбитражного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индивидуального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банкротом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производства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неприостановления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порядке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Кодексом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административных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правонарушениях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недоимки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налогам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сборам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задолженности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платежам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реестре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недобросовестных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учредителях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коллегиального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исполняющем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единоличного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физического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коллегиального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главного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бухгалтера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судимости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преступле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экономики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обладания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исключительными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интеллектуальной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устанавливаемым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частью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31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специализированной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предоставление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предприятиям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уголовно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инвалидов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преимущества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отношении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предлагаемой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3" w:name="sub_54"/>
    </w:p>
    <w:bookmarkEnd w:id="4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малого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социально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ориентированных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некоммерческих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устанавливает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привлечении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соисполнител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малого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социально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ориентированных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некоммерческих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ввода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эксплуатацию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протоколы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4" w:name="sub_56"/>
    </w:p>
    <w:bookmarkEnd w:id="4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публикует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любых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массовой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телекоммуникационной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Интернет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опубликование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наряду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5" w:name="sub_57"/>
    </w:p>
    <w:bookmarkEnd w:id="4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подготавливает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письменной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разъяснения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6" w:name="sub_58"/>
    </w:p>
    <w:bookmarkEnd w:id="4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сохранность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защищенность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неприкосновенность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конфиденциальность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только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7" w:name="sub_59"/>
    </w:p>
    <w:bookmarkEnd w:id="4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подавшим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представителям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присутствовать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8" w:name="sub_60"/>
    </w:p>
    <w:bookmarkEnd w:id="4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режиме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времени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получать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49" w:name="sub_61"/>
    </w:p>
    <w:bookmarkEnd w:id="4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аудиозаписи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0" w:name="sub_62"/>
    </w:p>
    <w:bookmarkEnd w:id="5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хранение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протоколов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ходе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разъяснений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аудиозаписи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1" w:name="sub_63"/>
    </w:p>
    <w:bookmarkEnd w:id="5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привлекает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2" w:name="sub_64"/>
    </w:p>
    <w:bookmarkEnd w:id="5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согласование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порядке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регулированию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частью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84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3" w:name="sub_65"/>
    </w:p>
    <w:bookmarkEnd w:id="5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зультатам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несостоявшихся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4" w:name="sub_66"/>
    </w:p>
    <w:bookmarkEnd w:id="5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оформленном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отчете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нецелесообразность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5" w:name="sub_67"/>
    </w:p>
    <w:bookmarkEnd w:id="5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6" w:name="sub_68"/>
    </w:p>
    <w:bookmarkEnd w:id="5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ш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реестр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недобросовестных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участниках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уклонившихся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7" w:name="sub_69"/>
    </w:p>
    <w:bookmarkEnd w:id="5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расторжении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  <w:bookmarkStart w:id="58" w:name="sub_80"/>
    </w:p>
    <w:bookmarkEnd w:id="5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приемку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олненной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59" w:name="sub_71"/>
    </w:p>
    <w:bookmarkEnd w:id="5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оплату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0" w:name="sub_72"/>
    </w:p>
    <w:bookmarkEnd w:id="6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взаимодействует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расторжении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ответственности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уплате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неустоек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штрафов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просрочки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гарантийного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ненадлежащего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совершает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нарушения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1" w:name="sub_73"/>
    </w:p>
    <w:bookmarkEnd w:id="6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экспертизы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привлекает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2" w:name="sub_74"/>
    </w:p>
    <w:bookmarkEnd w:id="6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приемочной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приемки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3" w:name="sub_75"/>
    </w:p>
    <w:bookmarkEnd w:id="6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подготавливает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приемке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поставленного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ж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ввода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эксплуатацию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циальном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отчет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содержащий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соблюдении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промежуточных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окончательных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ненадлежащем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допущенных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нарушений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неисполнении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санкциях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нарушением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неисполнением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расторжении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ходе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расторжении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сведений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тайну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4" w:name="sub_77"/>
    </w:p>
    <w:bookmarkEnd w:id="6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реестр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недобросовестных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расторгнут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односторонним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отчет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малого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предпринимательства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социально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ориентированных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некоммерческих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bookmarkStart w:id="65" w:name="sub_79"/>
    </w:p>
    <w:bookmarkEnd w:id="6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  <w:bookmarkStart w:id="66" w:name="sub_91"/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10)</w:t>
      </w:r>
    </w:p>
    <w:bookmarkEnd w:id="6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консультации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консультациях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состояния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конкурентной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рынках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наилучших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технологий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других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общественное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обсуждение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отмену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7" w:name="sub_83"/>
    </w:p>
    <w:bookmarkEnd w:id="6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 xml:space="preserve">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принимает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закупаемым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нормативным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затратам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8" w:name="sub_84"/>
    </w:p>
    <w:bookmarkEnd w:id="6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4)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обжаловании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бездействия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обжаловании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езультатов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материалов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претензионной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69" w:name="sub_85"/>
    </w:p>
    <w:bookmarkEnd w:id="6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5)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разрабатывает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типовых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6)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проверку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банковских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гарантий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поступивших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качестве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70" w:name="sub_87"/>
    </w:p>
    <w:bookmarkEnd w:id="7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 xml:space="preserve">7)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информирует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банковской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гарантии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предоставившее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банковскую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гарантию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причин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послуживших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8)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уплаты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банковской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гарантии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71" w:name="sub_89"/>
    </w:p>
    <w:bookmarkEnd w:id="71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9)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возврат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качестве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bookmarkStart w:id="72" w:name="sub_90"/>
    </w:p>
    <w:bookmarkEnd w:id="72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реализации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работники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соблюдать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  <w:bookmarkStart w:id="73" w:name="sub_95"/>
    </w:p>
    <w:bookmarkEnd w:id="73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допуска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сведений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ставших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известными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ходе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кроме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прямо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переговоров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победителя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кроме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прямо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3)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привлекать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порядке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действующим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  <w:bookmarkStart w:id="74" w:name="sub_94"/>
    </w:p>
    <w:bookmarkEnd w:id="74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централизации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служба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переданные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соответствующе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уполномоченному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  <w:bookmarkStart w:id="75" w:name="sub_96"/>
    </w:p>
    <w:bookmarkEnd w:id="75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11).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Комиссию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конкурентных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порядок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назначается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председатель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могут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котировочная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окончательных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ествляющая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правомочным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одновременном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своевременно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уведомлены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председателем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месте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времени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информирован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); 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присутствует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50%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8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человек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Представляется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очевидным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отсутствия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квор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ума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повторный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созыв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адресованное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предписание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преимущественно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прошедших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профессиональную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переподготовку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повышение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квалификации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обладающих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специальными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знаниями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относящимися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запреты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заочного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голосования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делегиров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запрета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передавать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другому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личного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присутствия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членов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заседании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Согласно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существенно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практика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12)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получат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режима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счет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субсидий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будут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счет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самостоятельно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заработанных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Федерального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18.07.2011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223-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видами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овием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223-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сайте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апреля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осуществляющим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Еще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новацией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станет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руководствоваться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правилами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госзаказа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автономных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коммерческих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хозяйственных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унитарных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предприятий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практика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существовала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"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чечно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"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инициативе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ведомств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распределяющих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Теперь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логике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законодателя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максимум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потоков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расходоваться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рамках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помимо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бюджетных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действие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подпадают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автономные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унитарные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предприятия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капитальные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собственности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юридические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реализации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инвестиционных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строительству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реконструкции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техническому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перевооружению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капитального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строительства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ind w:firstLine="720"/>
        <w:jc w:val="both"/>
        <w:outlineLvl w:val="0"/>
        <w:rPr>
          <w:rFonts w:ascii="Arial" w:eastAsia="Arial Unicode MS" w:hAnsi="Arial"/>
          <w:color w:val="000000"/>
          <w:sz w:val="26"/>
          <w:u w:color="000000"/>
          <w:lang w:val="ru-RU"/>
        </w:rPr>
      </w:pP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lastRenderedPageBreak/>
        <w:t>Понятие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"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капитальные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вложения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"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определено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106BBE"/>
          <w:sz w:val="26"/>
          <w:u w:color="106BBE"/>
          <w:lang w:val="ru-RU"/>
        </w:rPr>
        <w:t>ст</w:t>
      </w:r>
      <w:r>
        <w:rPr>
          <w:rFonts w:ascii="Arial" w:eastAsia="Arial Unicode MS" w:hAnsi="Arial Unicode MS"/>
          <w:color w:val="106BBE"/>
          <w:sz w:val="26"/>
          <w:u w:color="106BBE"/>
          <w:lang w:val="ru-RU"/>
        </w:rPr>
        <w:t>.</w:t>
      </w:r>
      <w:r>
        <w:rPr>
          <w:rFonts w:ascii="Arial" w:eastAsia="Arial Unicode MS" w:hAnsi="Arial Unicode MS"/>
          <w:color w:val="106BBE"/>
          <w:sz w:val="26"/>
          <w:u w:color="106BBE"/>
          <w:lang w:val="ru-RU"/>
        </w:rPr>
        <w:t> </w:t>
      </w:r>
      <w:r>
        <w:rPr>
          <w:rFonts w:ascii="Arial" w:eastAsia="Arial Unicode MS" w:hAnsi="Arial Unicode MS"/>
          <w:color w:val="106BBE"/>
          <w:sz w:val="26"/>
          <w:u w:color="106BBE"/>
          <w:lang w:val="ru-RU"/>
        </w:rPr>
        <w:t>1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Федерального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за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кона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от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25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февраля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1999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г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. N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 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39-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ФЗ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"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Об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инвестиционной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деятельности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Российской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Федерации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осуществляемой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форме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капитальных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вложений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" 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как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инвестиции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основной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капитал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основные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средства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в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том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числе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затраты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на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новое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строительство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реконструкцию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техн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ическое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перевооружение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действующих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предприятий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приобретение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машин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оборудования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инструмента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инвентаря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проектно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-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изыскательские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работы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и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другие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затраты</w:t>
      </w:r>
      <w:r>
        <w:rPr>
          <w:rFonts w:ascii="Arial" w:eastAsia="Arial Unicode MS" w:hAnsi="Arial Unicode MS"/>
          <w:color w:val="000000"/>
          <w:sz w:val="26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Внедрение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106BBE"/>
          <w:sz w:val="32"/>
          <w:u w:color="106BBE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приведет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резкому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увеличению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торгов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неторговых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источника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 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13)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неторговых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нормативно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привязано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понятию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«одноименности»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предел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процентной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общем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такими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абсолютном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выражении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Сейчас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хотелось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вкратце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остановиться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льзуются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94-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новыми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48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56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), 57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), 59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), 72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83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), 84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закрытые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93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Открытый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кон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курс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14).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сообщается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неограниченному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кругу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предъявляются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доступа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Прописана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несостоявшимся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отклонили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объявляет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повторный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повторного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НМЦК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увеличена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10%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первого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повторный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несостоявшимся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15).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технической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технологической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сложности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высокосложного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инновационного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специализированного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характера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только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имеющие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уровень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квалификации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реставрации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льтурного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наследия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памятников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истории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народов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коллекций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фонда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Архивного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фонда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редких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входящих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библиотечных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фондов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оказания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связанных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необходимостью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допуска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базам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архивов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библиотек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хранилищам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депозитариям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безопасности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предметов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коллекций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архивн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библиотечного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фонда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Постановлением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28.11.2013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1089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утверждены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hyperlink w:anchor="sub_1000" w:history="1">
        <w:r>
          <w:rPr>
            <w:rStyle w:val="a3"/>
            <w:rFonts w:hAnsi="Arial Unicode MS"/>
            <w:i w:val="0"/>
            <w:lang w:val="ru-RU"/>
          </w:rPr>
          <w:t>Перечень</w:t>
        </w:r>
      </w:hyperlink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случаев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отнесения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товаров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товарам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работам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услугам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которые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причине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технической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</w:t>
      </w:r>
      <w:r>
        <w:rPr>
          <w:rFonts w:ascii="Arial" w:eastAsia="Arial Unicode MS" w:hAnsi="Arial Unicode MS"/>
          <w:color w:val="000000"/>
          <w:u w:color="000000"/>
          <w:lang w:val="ru-RU"/>
        </w:rPr>
        <w:t>нологической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сложности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инновационного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высокотехнологичного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специализированного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характера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способны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поставить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выполнить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оказать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поставщики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подрядчики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исполнители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имеющие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необходимый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уровень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квалификации</w:t>
      </w:r>
      <w:r>
        <w:rPr>
          <w:rFonts w:ascii="Arial" w:eastAsia="Arial Unicode MS" w:hAnsi="Arial Unicode MS"/>
          <w:color w:val="000000"/>
          <w:u w:color="000000"/>
          <w:lang w:val="ru-RU"/>
        </w:rPr>
        <w:t>: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color w:val="000000"/>
          <w:u w:color="000000"/>
          <w:lang w:val="ru-RU"/>
        </w:rPr>
        <w:t>1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Выполнение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проектирован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ию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сооружению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выводу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из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эксплуатации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объектов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использования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атомной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энергии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2.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Выполнение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обращению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ядерными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материалами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отработавшим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ядерным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топливом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радиоактивными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веществами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радиоактивными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отходами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числе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использовании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ереработке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транспортировании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хранении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захоронении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утилизации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3.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Выполнение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конструированию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изготовлению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оборудования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применяемого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объектах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использования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атомной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энергии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4.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Выполнение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ремонту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вооружения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военной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техники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ядерн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оружейного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комплекса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5.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Оказание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общественного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питания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поставки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пищевых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продуктов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закупаемых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дошкольных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общеобразовательных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начального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профессионального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среднего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офессионального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высшего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профессионального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специальных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коррекционных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обучающихся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воспитанников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ограниченными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возможностями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здоровья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сирот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оставшихся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без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попечения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родителей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пециальных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учебно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воспитательных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закрытого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типа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подростков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девиантным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общественно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опасным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поведением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нетиповых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высшей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категории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подростков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молодых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людей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проявивших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выдающиеся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способности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,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дополнительного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других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организаций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осуществляющих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образовательный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процесс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медицинских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организаций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учреждений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социального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обслуживания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организаций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отдыха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детей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оздоровления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6.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Выполнение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строительству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реконструкции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капитальному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ремонту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особо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опасных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технически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сложных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объектов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капитального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строительства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также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искусственных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дорожных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сооружений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включенных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состав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автомобильных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дорог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федерального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регионального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lastRenderedPageBreak/>
        <w:t>межмуниципал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ьного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местного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значения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также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включенных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эту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группировку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случае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если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начальная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максимальная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цена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осуществлении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закупок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обеспечения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государственных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нужд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превышает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150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млн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рублей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обеспечения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муниципальных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нужд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превыш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ает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50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млн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рублей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hyperlink w:anchor="sub_2000" w:history="1">
        <w:r>
          <w:rPr>
            <w:rStyle w:val="a3"/>
            <w:rFonts w:hAnsi="Arial Unicode MS"/>
            <w:i w:val="0"/>
            <w:lang w:val="ru-RU"/>
          </w:rPr>
          <w:t>дополнительные</w:t>
        </w:r>
        <w:r>
          <w:rPr>
            <w:rStyle w:val="a3"/>
            <w:rFonts w:hAnsi="Arial Unicode MS"/>
            <w:i w:val="0"/>
            <w:lang w:val="ru-RU"/>
          </w:rPr>
          <w:t xml:space="preserve"> </w:t>
        </w:r>
        <w:r>
          <w:rPr>
            <w:rStyle w:val="a3"/>
            <w:rFonts w:hAnsi="Arial Unicode MS"/>
            <w:i w:val="0"/>
            <w:lang w:val="ru-RU"/>
          </w:rPr>
          <w:t>требования</w:t>
        </w:r>
      </w:hyperlink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предъявляемые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участникам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закупки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отдельных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товаров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которые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причине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технической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технологической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сложности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инновационного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высокотехнологичного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</w:t>
      </w:r>
      <w:r>
        <w:rPr>
          <w:rFonts w:ascii="Arial" w:eastAsia="Arial Unicode MS" w:hAnsi="Arial Unicode MS"/>
          <w:color w:val="000000"/>
          <w:u w:color="000000"/>
          <w:lang w:val="ru-RU"/>
        </w:rPr>
        <w:t>ециализированного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характера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способны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поставить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выполнить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оказать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поставщики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подрядчики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исполнители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имеющие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необходимый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уровень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квалификации</w:t>
      </w:r>
      <w:r>
        <w:rPr>
          <w:rFonts w:ascii="Arial" w:eastAsia="Arial Unicode MS" w:hAnsi="Arial Unicode MS"/>
          <w:color w:val="000000"/>
          <w:u w:color="000000"/>
          <w:lang w:val="ru-RU"/>
        </w:rPr>
        <w:t>: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1.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Наличие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опыта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учетом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правопреемства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договора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поставку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товаров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выполне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оказание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далее 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-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договор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указанных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hyperlink w:anchor="sub_1000" w:history="1">
        <w:r>
          <w:rPr>
            <w:rStyle w:val="a3"/>
            <w:rFonts w:hAnsi="Arial Unicode MS"/>
            <w:lang w:val="ru-RU"/>
          </w:rPr>
          <w:t>перечне</w:t>
        </w:r>
      </w:hyperlink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случаев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отнесения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товаров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товарам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работам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услугам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которые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причине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технической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 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технологической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сложности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инновационного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высокоте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хнологичного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специализированного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характера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способны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поставить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выполнить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оказать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только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поставщики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подрядчики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исполнители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имеющие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необходимый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уровень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квалификации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утвержденном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hyperlink w:anchor="sub_0" w:history="1">
        <w:r>
          <w:rPr>
            <w:rStyle w:val="a3"/>
            <w:rFonts w:hAnsi="Arial Unicode MS"/>
            <w:lang w:val="ru-RU"/>
          </w:rPr>
          <w:t>постановлением</w:t>
        </w:r>
      </w:hyperlink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Правительства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Российской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Феде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рации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28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ноября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2013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г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 N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1089,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течение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3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лет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даты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подачи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заявки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участие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конкурсе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.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этом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стоимость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ранее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договора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составляет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менее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20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процентов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начальной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максимальной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цены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договора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цены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лота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аво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заключить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который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проводится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конкурс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ограниченным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участием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i/>
          <w:color w:val="000000"/>
          <w:u w:color="000000"/>
          <w:lang w:val="ru-RU"/>
        </w:rPr>
      </w:pPr>
      <w:r>
        <w:rPr>
          <w:rFonts w:ascii="Arial" w:eastAsia="Arial Unicode MS" w:hAnsi="Arial Unicode MS"/>
          <w:i/>
          <w:color w:val="000000"/>
          <w:u w:color="000000"/>
          <w:lang w:val="ru-RU"/>
        </w:rPr>
        <w:t>2.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 Наличие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собственного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 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(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арендованного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срок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договора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оборудования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других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материальных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ресурсов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также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прав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результаты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интеллектуальной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деятельности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в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бъеме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установленном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конкурсной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документацией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необходимом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для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надлежащего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своевременного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исполнения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контракта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договора</w:t>
      </w:r>
      <w:r>
        <w:rPr>
          <w:rFonts w:ascii="Arial" w:eastAsia="Arial Unicode MS" w:hAnsi="Arial Unicode MS"/>
          <w:i/>
          <w:color w:val="000000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hyperlink w:anchor="sub_3000" w:history="1">
        <w:r>
          <w:rPr>
            <w:rStyle w:val="a3"/>
            <w:rFonts w:hAnsi="Arial Unicode MS"/>
            <w:i w:val="0"/>
            <w:lang w:val="ru-RU"/>
          </w:rPr>
          <w:t>перечень</w:t>
        </w:r>
      </w:hyperlink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документов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которые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подтверждают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соответствие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участников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закупки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дополнительным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требованиям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</w:t>
      </w:r>
      <w:r>
        <w:rPr>
          <w:rFonts w:ascii="Arial" w:eastAsia="Arial Unicode MS" w:hAnsi="Arial Unicode MS"/>
          <w:color w:val="000000"/>
          <w:u w:color="000000"/>
          <w:lang w:val="ru-RU"/>
        </w:rPr>
        <w:t>редъявляемым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участникам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закупки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отдельных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товаров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работ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услуг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которые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причине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их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технической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технологической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сложности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инновационного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высокотехнологичного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специализированного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характера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способны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поставить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выполнить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оказать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только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lastRenderedPageBreak/>
        <w:t>пос</w:t>
      </w:r>
      <w:r>
        <w:rPr>
          <w:rFonts w:ascii="Arial" w:eastAsia="Arial Unicode MS" w:hAnsi="Arial Unicode MS"/>
          <w:color w:val="000000"/>
          <w:u w:color="000000"/>
          <w:lang w:val="ru-RU"/>
        </w:rPr>
        <w:t>тавщики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(</w:t>
      </w:r>
      <w:r>
        <w:rPr>
          <w:rFonts w:ascii="Arial" w:eastAsia="Arial Unicode MS" w:hAnsi="Arial Unicode MS"/>
          <w:color w:val="000000"/>
          <w:u w:color="000000"/>
          <w:lang w:val="ru-RU"/>
        </w:rPr>
        <w:t>подрядчики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исполнители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), </w:t>
      </w:r>
      <w:r>
        <w:rPr>
          <w:rFonts w:ascii="Arial" w:eastAsia="Arial Unicode MS" w:hAnsi="Arial Unicode MS"/>
          <w:color w:val="000000"/>
          <w:u w:color="000000"/>
          <w:lang w:val="ru-RU"/>
        </w:rPr>
        <w:t>имеющие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необходимый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уровень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ascii="Arial" w:eastAsia="Arial Unicode MS" w:hAnsi="Arial Unicode MS"/>
          <w:color w:val="000000"/>
          <w:u w:color="000000"/>
          <w:lang w:val="ru-RU"/>
        </w:rPr>
        <w:t>квалификации</w:t>
      </w:r>
      <w:r>
        <w:rPr>
          <w:rFonts w:ascii="Arial" w:eastAsia="Arial Unicode MS" w:hAnsi="Arial Unicode MS"/>
          <w:color w:val="000000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особенностей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56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Дв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ухэтапный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16).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сообщается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неограниченному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кругу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предъявляются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победителем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принявший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прошедший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предквалификационный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отбор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предложивший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лучшие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второго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этапа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76" w:name="sub_572"/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овести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одновременном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соблюдении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bookmarkEnd w:id="76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научных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исследований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архитектурно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строительного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проектирования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экспериментов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изысканий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инновационной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высокотехнологичной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продукции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энергосервисного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создания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произведения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литературы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искусства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результата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интеллектуальной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);</w:t>
      </w:r>
      <w:bookmarkStart w:id="77" w:name="sub_5721"/>
    </w:p>
    <w:bookmarkEnd w:id="77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уточнения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характеристик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необходимо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обсуждение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двухэтапного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применяются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открытого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конкурса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учетом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особенностей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57.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Аукцион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электронной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7).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сообщается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неограниченному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кругу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предъявляются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требования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обеспечивается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площадке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оператором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распоряжение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Правительства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октября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2019-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дополнительный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перечень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установленный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высшим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власти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Включение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перечни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одновременного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выполнения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следующих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ловий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78" w:name="sub_5921"/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существует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сформулировать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подробное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точное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описание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bookmarkEnd w:id="78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2)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критерии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победителя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имеют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количественную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денежную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Сокращен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называемом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длинн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будет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итогов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протокола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электронного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аукциона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несостоявшимся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сняли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рассмотрении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подписание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осуществляется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через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ЕИС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18).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потребностях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сообщается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неограниченному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кругу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победителем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дложивший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низкую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положениями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настоящего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параграфа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начальная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пятьсот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тысяч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осуществляемых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десять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миллионов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отказаться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изменение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внести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истечения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котировочных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7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(4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максимальной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250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.),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продляется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котировочная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отклонила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запечатанных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конвертах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Вскрытие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конвертов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публично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! </w:t>
      </w:r>
    </w:p>
    <w:p w:rsidR="00000000" w:rsidRDefault="00B12A4D">
      <w:pPr>
        <w:widowControl w:val="0"/>
        <w:numPr>
          <w:ilvl w:val="0"/>
          <w:numId w:val="3"/>
        </w:numPr>
        <w:tabs>
          <w:tab w:val="clear" w:pos="332"/>
          <w:tab w:val="num" w:pos="692"/>
          <w:tab w:val="left" w:pos="720"/>
        </w:tabs>
        <w:spacing w:line="360" w:lineRule="auto"/>
        <w:ind w:left="692" w:hanging="332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несостоявшимся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подана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единственная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tabs>
          <w:tab w:val="left" w:pos="5595"/>
        </w:tabs>
        <w:spacing w:line="360" w:lineRule="auto"/>
        <w:ind w:firstLine="72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lastRenderedPageBreak/>
        <w:t>Запрос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19).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ab/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понимается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потребностях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сообщается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неограниченному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кругу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побед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ителем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признается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направивший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окончательное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наилучшим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удовлетворяет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потребностям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путем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2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83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исключены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договор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энергоснабжения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преподавательские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).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: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Объявление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5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направить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отклонены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проводится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итогам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расторгнутого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лицам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были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18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месяцев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аналогичную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продукцию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представляют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присутствии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оценивает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критериям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документации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процедуры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оглашения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наилучшего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предложения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предлагается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1 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представить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свои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окончательные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ерты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Оценка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окончательных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оферт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производится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присутствии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участников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Закупка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(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>слайд</w:t>
      </w:r>
      <w:r>
        <w:rPr>
          <w:rFonts w:eastAsia="Arial Unicode MS" w:hAnsi="Arial Unicode MS"/>
          <w:b/>
          <w:color w:val="000000"/>
          <w:sz w:val="32"/>
          <w:u w:color="000000"/>
          <w:lang w:val="ru-RU"/>
        </w:rPr>
        <w:t xml:space="preserve"> 20)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может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осуществляться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93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: 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bookmarkStart w:id="79" w:name="sub_9314"/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превышающую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тысяч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настоящего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пятьдесят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миллионов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Указанные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ограничения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 установления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предельных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значений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распространяются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осуществляемые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нужд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сельских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поселений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;</w:t>
      </w:r>
    </w:p>
    <w:bookmarkEnd w:id="79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товара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уставными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целями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являются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сохранение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популяризация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объектов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наследия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муниципальным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зоопарк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планетарий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отдыха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заповедник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ботанический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сад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национальный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природный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ландшафтный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парк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театр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осуществляющее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концертную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деятельность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телерадиове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щательное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учреждение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цирк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музей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дворец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культуры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клуб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библиотека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архив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государственной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муниципальной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образовательной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организацией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сумму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превышающую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четырехсот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тысяч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совокупный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годовой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объем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основании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настоящего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пункта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превышает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пятьдесят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процентов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размера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средств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планом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-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графиком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составляет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двадцать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миллионов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рублей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  <w:bookmarkStart w:id="80" w:name="sub_9315"/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lastRenderedPageBreak/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документально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оформленном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отчете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невозможность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нецелесообразность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использования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способов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существенные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условия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bookmarkEnd w:id="80"/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должен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содержать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расчет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обоснование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цены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разместить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информационной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системе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извещение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,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осуществлении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hyperlink w:anchor="sub_9316" w:history="1"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пунктами</w:t>
        </w:r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 xml:space="preserve"> 6</w:t>
        </w:r>
      </w:hyperlink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hyperlink w:anchor="sub_9319" w:history="1">
        <w:r>
          <w:rPr>
            <w:rStyle w:val="a3"/>
            <w:rFonts w:ascii="Times New Roman" w:hAnsi="Arial Unicode MS"/>
            <w:i w:val="0"/>
            <w:color w:val="000000"/>
            <w:sz w:val="32"/>
            <w:u w:color="000000"/>
            <w:lang w:val="ru-RU"/>
          </w:rPr>
          <w:t>9</w:t>
        </w:r>
      </w:hyperlink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34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части 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1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настоящей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уведомить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одного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рабочего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дня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закл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ючения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контрольный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орган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сфере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такой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. 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  <w:r>
        <w:rPr>
          <w:rFonts w:eastAsia="Arial Unicode MS" w:hAnsi="Arial Unicode MS"/>
          <w:color w:val="000000"/>
          <w:sz w:val="32"/>
          <w:u w:color="000000"/>
          <w:lang w:val="ru-RU"/>
        </w:rPr>
        <w:t>Кроме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того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законом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определены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случаи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закупок</w:t>
      </w:r>
      <w:r>
        <w:rPr>
          <w:rFonts w:ascii="Arial" w:eastAsia="Arial Unicode MS" w:hAnsi="Arial Unicode MS"/>
          <w:color w:val="000000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подрядчика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)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которых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обязательно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привлечение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экспертов</w:t>
      </w:r>
      <w:r>
        <w:rPr>
          <w:rFonts w:eastAsia="Arial Unicode MS" w:hAnsi="Arial Unicode MS"/>
          <w:color w:val="000000"/>
          <w:sz w:val="32"/>
          <w:u w:color="000000"/>
          <w:lang w:val="ru-RU"/>
        </w:rPr>
        <w:t>.</w:t>
      </w:r>
    </w:p>
    <w:p w:rsidR="00000000" w:rsidRDefault="00B12A4D">
      <w:pPr>
        <w:ind w:firstLine="720"/>
        <w:jc w:val="both"/>
        <w:outlineLvl w:val="0"/>
        <w:rPr>
          <w:rFonts w:ascii="Arial" w:eastAsia="Arial Unicode MS" w:hAnsi="Arial"/>
          <w:color w:val="000000"/>
          <w:u w:color="000000"/>
          <w:lang w:val="ru-RU"/>
        </w:rPr>
      </w:pPr>
    </w:p>
    <w:p w:rsidR="00000000" w:rsidRDefault="00B12A4D">
      <w:pPr>
        <w:widowControl w:val="0"/>
        <w:jc w:val="center"/>
        <w:outlineLvl w:val="0"/>
        <w:rPr>
          <w:rFonts w:eastAsia="Arial Unicode MS"/>
          <w:b/>
          <w:color w:val="000000"/>
          <w:sz w:val="28"/>
          <w:u w:color="000000"/>
          <w:lang w:val="ru-RU"/>
        </w:rPr>
      </w:pP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Обзор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изменений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внесенных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44-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дек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абре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 xml:space="preserve"> 2013 </w:t>
      </w:r>
      <w:r>
        <w:rPr>
          <w:rFonts w:eastAsia="Arial Unicode MS" w:hAnsi="Arial Unicode MS"/>
          <w:b/>
          <w:color w:val="000000"/>
          <w:sz w:val="28"/>
          <w:u w:color="000000"/>
          <w:lang w:val="ru-RU"/>
        </w:rPr>
        <w:t>года</w:t>
      </w:r>
    </w:p>
    <w:p w:rsidR="00000000" w:rsidRDefault="00B12A4D">
      <w:pPr>
        <w:widowControl w:val="0"/>
        <w:jc w:val="center"/>
        <w:outlineLvl w:val="0"/>
        <w:rPr>
          <w:rFonts w:eastAsia="Arial Unicode MS"/>
          <w:b/>
          <w:i/>
          <w:color w:val="000000"/>
          <w:sz w:val="28"/>
          <w:u w:color="000000"/>
          <w:lang w:val="ru-RU"/>
        </w:rPr>
      </w:pP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Федеральный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закон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Российской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Федерации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от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28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декабря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 xml:space="preserve"> 2013 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г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. N 396-</w:t>
      </w:r>
      <w:r>
        <w:rPr>
          <w:rFonts w:eastAsia="Arial Unicode MS" w:hAnsi="Arial Unicode MS"/>
          <w:color w:val="373737"/>
          <w:kern w:val="36"/>
          <w:sz w:val="28"/>
          <w:u w:color="373737"/>
          <w:lang w:val="ru-RU"/>
        </w:rPr>
        <w:t>ФЗ</w:t>
      </w:r>
      <w:r>
        <w:rPr>
          <w:rFonts w:eastAsia="Arial Unicode MS" w:hAnsi="Arial Unicode MS"/>
          <w:color w:val="373737"/>
          <w:kern w:val="36"/>
          <w:sz w:val="38"/>
          <w:u w:color="373737"/>
          <w:lang w:val="ru-RU"/>
        </w:rPr>
        <w:t xml:space="preserve"> 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(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опубликован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в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 xml:space="preserve"> 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РГ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 xml:space="preserve"> 30.12.2013 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г</w:t>
      </w:r>
      <w:r>
        <w:rPr>
          <w:rFonts w:eastAsia="Arial Unicode MS" w:hAnsi="Arial Unicode MS"/>
          <w:i/>
          <w:color w:val="373737"/>
          <w:kern w:val="36"/>
          <w:sz w:val="28"/>
          <w:u w:color="373737"/>
          <w:lang w:val="ru-RU"/>
        </w:rPr>
        <w:t>.)</w:t>
      </w:r>
    </w:p>
    <w:p w:rsidR="00000000" w:rsidRDefault="00B12A4D">
      <w:pPr>
        <w:widowControl w:val="0"/>
        <w:jc w:val="center"/>
        <w:outlineLvl w:val="0"/>
        <w:rPr>
          <w:rFonts w:eastAsia="Arial Unicode MS"/>
          <w:b/>
          <w:color w:val="000000"/>
          <w:sz w:val="28"/>
          <w:u w:color="000000"/>
          <w:lang w:val="ru-RU"/>
        </w:rPr>
      </w:pP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Закреплены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уполномоченных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органов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проведении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совместных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Внесены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уточнения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касающиеся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закупок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223-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добав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лено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«в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числе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рамках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предусмотренных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учредительными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документами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основных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видов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деятельности»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Внесены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изменения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223-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Положение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утверждается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органом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осуществляющим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функции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полномочия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учредителя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Положение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223-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можно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принимать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апреля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примут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осуществлять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44-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Предусмотрено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право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субъектов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принимать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Методические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рекомендации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применению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методов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определения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)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Ц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Несостоявшиеся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СМП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СОНКО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учитываются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15%-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объеме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lastRenderedPageBreak/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требований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исключено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отсутствие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реестре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недобросовестных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поставщиков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нём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также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учредителях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Такое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требование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стало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диспозитивным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установить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Появилось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новое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требование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«отс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утствие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между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конфликта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интересов»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Убрали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устную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форму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договора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Утратили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силу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нормы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предоставлении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выгодоприобретателях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19-21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34).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Необходимо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изменение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постановления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Правительства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04.09.2013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№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775.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Уточнен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перечень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подтверждающей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добросовестность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антидемпинговых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мерах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подтверждающей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добросовестность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относится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содержащаяся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реестре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заключенных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заказчиками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подтверждающая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таким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одного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такому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неустоек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штрафов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пеней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ибо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двух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лет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четырех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менее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семьдесят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пять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процентов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такому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неустоек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штрафов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пеней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течение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лет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даты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подачи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более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должны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быть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такому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неустоек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штрафов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пеней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).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Отсутствие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составе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документов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подтверждаю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щих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соответствие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критерию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"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квалификация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"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является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lastRenderedPageBreak/>
        <w:t>основанием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признания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соответствующей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требованиям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Добавился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пункт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: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«В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случае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установления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недостоверности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информации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,</w:t>
      </w:r>
      <w:r>
        <w:rPr>
          <w:rFonts w:eastAsia="Arial Unicode MS" w:hAnsi="Arial Unicode MS"/>
          <w:color w:val="000000"/>
          <w:sz w:val="26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содержащейся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документах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представленных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частью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статьи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51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настоящего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Федерального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конкурсная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комиссия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отстранить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такого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любом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этапе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проведения»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Непредоставление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которого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присвоен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второй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номер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срок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подписанных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этим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экземпляров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обеспечения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ТЕПЕРЬ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считается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уклонением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участника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Закреплена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возможность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применять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основаниям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указанным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Правительством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РФ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электронных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Первая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часть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заявки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должна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содержать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указания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товарные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знаки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патенты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лишь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НАЛИЧИИ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победитель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кциона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уклонился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заключения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теперь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второй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круг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изменение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планов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новая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процедура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).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Из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убрали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энергоснабжение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преподавательские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услуги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Ввели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обеспечение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предложений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Разобрались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единственным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оставщиком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/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мун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образовательных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учреждений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поименовали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государственная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муниципальная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образовательная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организация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позволяет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теперь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казённым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учреждениям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400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тыс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руб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lastRenderedPageBreak/>
        <w:t>Необходимость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срочного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медицинского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вмешатель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ства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заменена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термином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необходимости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оказании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медицинской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помощи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экстренной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оказании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медицинской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помощи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неотложной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форме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Дополнительные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основания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: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cr/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-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заключение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договора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энергоснабже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или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договора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купли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-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продажи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электрической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энергии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гарантирующим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поставщиком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электрической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энергии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;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cr/>
        <w:t xml:space="preserve">-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определение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поставщика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распоряжением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Правительства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предложениям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высших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исполнительных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осуществлении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закупок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бюллетеней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открепительных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удостоверений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специальных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знаков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(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марок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),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используемых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проведении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выборов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федеральные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выборов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референдума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референдумов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также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проведении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выборов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местного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самоуправления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местных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референдумов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муниципальных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образованиях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числом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избирателей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свыше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двухсот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тысяч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чело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век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;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cr/>
        <w:t xml:space="preserve">-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заключение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контракта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предметом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которого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является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приобретение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для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обеспечения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муниципальных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нежилого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здания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строения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сооружения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нежилого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помещения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определенных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соответствии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решением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подготовке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реализации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бюджетных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инвестиций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или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предоставлении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субсидий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осуществление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капитальных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вложений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целях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приобретения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объектов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недвижимого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имущества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государственную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или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муниципальную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собственность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принятым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порядке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установленном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тветственно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Правительством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высшим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исполнительным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местной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администрацией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;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cr/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lastRenderedPageBreak/>
        <w:t xml:space="preserve">-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аренда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нежилого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здания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строения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сооружения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нежилого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помещения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для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обеспечения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муниципальных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нужд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определенных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соответственно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правовым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актом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Правительства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высшего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исполнительного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государственной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субъекта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местной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администрации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.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указанны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правовых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актах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устанавливаются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наименование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заказчика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информация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арендуемом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объекте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недвижимого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имущества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указанием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его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мощности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цена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такого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контракта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также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срок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аренды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.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подготовке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проектов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указанных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правовых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актов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таким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проектам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прилагае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тся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обоснование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цены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контракта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соответствии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положениями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статьи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22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настоящего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закона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;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cr/>
        <w:t xml:space="preserve">-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заключение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контракта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оказание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преподавательских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услуг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также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услуг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экскурсовода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(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гида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)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физическими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лицами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;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cr/>
        <w:t xml:space="preserve">-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заключения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федеральным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исполни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тельной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власти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контракта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иностранной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организацией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лечение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гражданина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пределами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территории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Российской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Федерации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случае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если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запрос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предложений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проведенный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соответствии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пунктом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3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части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2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статьи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83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настоящего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Федерального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закона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,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признан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не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состоявшимся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в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соответствии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частью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19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указанной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 xml:space="preserve"> 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статьи</w:t>
      </w:r>
      <w:r>
        <w:rPr>
          <w:rFonts w:eastAsia="Arial Unicode MS" w:hAnsi="Arial Unicode MS"/>
          <w:i/>
          <w:color w:val="800040"/>
          <w:sz w:val="26"/>
          <w:u w:color="80004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Односторонний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отказ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увязывается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основаниями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предусмотренными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Гражданским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кодексом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Российской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Федерации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одностороннего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отказа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исполнения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отдельных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видов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обязательств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прежнему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решен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вопрос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односторонним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отказом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услугу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которого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Гражданский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кодекс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предусматривает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обязательного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наличия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нарушений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обязательств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стороны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что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формально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позволяет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Заказчику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отказывать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включать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исполнителя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реестр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без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ограничений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lastRenderedPageBreak/>
        <w:t>Обеспечение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устанавливается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желанию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существенно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большем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количестве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случаев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котировок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почти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всех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случаях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запросом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предложе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ний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исключением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дозакупки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либо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если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повторный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конкурс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аукцион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признан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несостоявшимся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),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пунктах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4 - 11, 13 - 15, 17, 20 - 23, 26, 28 - 34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части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93 (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случаи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единственного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поставщика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).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Существующие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ЭЦП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выданные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казначейством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сохраняют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действие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весь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период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,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не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позднее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ввода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ЕИС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Работники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контрактной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могут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функционировать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образованием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94-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2017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31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марта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заказчики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ВПРАВЕ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создавать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контрактные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службы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.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После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этого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срока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-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обязаны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соответствии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ста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тьёй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38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закона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Обязанность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применять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44-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ФЗ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ГУПов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МУПов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отложена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до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января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2017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numPr>
          <w:ilvl w:val="0"/>
          <w:numId w:val="6"/>
        </w:numPr>
        <w:tabs>
          <w:tab w:val="clear" w:pos="415"/>
          <w:tab w:val="num" w:pos="775"/>
          <w:tab w:val="left" w:pos="810"/>
        </w:tabs>
        <w:ind w:left="775" w:hanging="415"/>
        <w:jc w:val="both"/>
        <w:outlineLvl w:val="0"/>
        <w:rPr>
          <w:rFonts w:eastAsia="Arial Unicode MS"/>
          <w:color w:val="000000"/>
          <w:sz w:val="26"/>
          <w:u w:color="000000"/>
          <w:lang w:val="ru-RU"/>
        </w:rPr>
      </w:pPr>
      <w:r>
        <w:rPr>
          <w:rFonts w:eastAsia="Arial Unicode MS" w:hAnsi="Arial Unicode MS"/>
          <w:color w:val="000000"/>
          <w:sz w:val="28"/>
          <w:u w:color="000000"/>
          <w:lang w:val="ru-RU"/>
        </w:rPr>
        <w:t>Нормирование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–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с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1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июля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 xml:space="preserve"> 2014 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года</w:t>
      </w:r>
      <w:r>
        <w:rPr>
          <w:rFonts w:eastAsia="Arial Unicode MS" w:hAnsi="Arial Unicode MS"/>
          <w:color w:val="000000"/>
          <w:sz w:val="28"/>
          <w:u w:color="000000"/>
          <w:lang w:val="ru-RU"/>
        </w:rPr>
        <w:t>.</w:t>
      </w: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ind w:firstLine="720"/>
        <w:jc w:val="both"/>
        <w:outlineLvl w:val="0"/>
        <w:rPr>
          <w:rFonts w:eastAsia="Arial Unicode MS"/>
          <w:color w:val="000000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left="360"/>
        <w:jc w:val="both"/>
        <w:outlineLvl w:val="0"/>
        <w:rPr>
          <w:rFonts w:eastAsia="Arial Unicode MS"/>
          <w:b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000000" w:rsidRDefault="00B12A4D">
      <w:pPr>
        <w:widowControl w:val="0"/>
        <w:spacing w:line="360" w:lineRule="auto"/>
        <w:ind w:firstLine="720"/>
        <w:jc w:val="both"/>
        <w:outlineLvl w:val="0"/>
        <w:rPr>
          <w:rFonts w:eastAsia="Arial Unicode MS"/>
          <w:color w:val="000000"/>
          <w:sz w:val="32"/>
          <w:u w:color="000000"/>
          <w:lang w:val="ru-RU"/>
        </w:rPr>
      </w:pPr>
    </w:p>
    <w:p w:rsidR="00B12A4D" w:rsidRDefault="00B12A4D">
      <w:pPr>
        <w:widowControl w:val="0"/>
        <w:outlineLvl w:val="0"/>
        <w:rPr>
          <w:rFonts w:eastAsia="Arial Unicode MS"/>
          <w:color w:val="000000"/>
          <w:sz w:val="26"/>
          <w:u w:color="000000"/>
          <w:lang w:val="ru-RU"/>
        </w:rPr>
      </w:pPr>
    </w:p>
    <w:sectPr w:rsidR="00B12A4D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32"/>
        </w:tabs>
        <w:ind w:left="332" w:firstLine="36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numStyleLink w:val="List0"/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415"/>
        </w:tabs>
        <w:ind w:left="415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450"/>
        </w:tabs>
        <w:ind w:left="45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numStyleLink w:val="List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3"/>
    <w:rsid w:val="00B12A4D"/>
    <w:rsid w:val="00B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Arial" w:eastAsia="Arial Unicode MS" w:hAnsi="Arial"/>
      <w:i/>
      <w:color w:val="106BBE"/>
      <w:sz w:val="24"/>
      <w:u w:color="106BBE"/>
    </w:rPr>
  </w:style>
  <w:style w:type="paragraph" w:customStyle="1" w:styleId="List0">
    <w:name w:val="List 0"/>
    <w:basedOn w:val="ImportWordListStyleDefinition1446267313"/>
    <w:autoRedefine/>
    <w:semiHidden/>
    <w:pPr>
      <w:numPr>
        <w:numId w:val="1"/>
      </w:numPr>
    </w:pPr>
  </w:style>
  <w:style w:type="paragraph" w:customStyle="1" w:styleId="ImportWordListStyleDefinition1446267313">
    <w:name w:val="Import Word List Style Definition 1446267313"/>
    <w:pPr>
      <w:numPr>
        <w:numId w:val="2"/>
      </w:numPr>
    </w:pPr>
  </w:style>
  <w:style w:type="paragraph" w:customStyle="1" w:styleId="List1">
    <w:name w:val="List 1"/>
    <w:basedOn w:val="ImportWordListStyleDefinition632953080"/>
    <w:autoRedefine/>
    <w:semiHidden/>
    <w:pPr>
      <w:numPr>
        <w:numId w:val="4"/>
      </w:numPr>
    </w:pPr>
  </w:style>
  <w:style w:type="paragraph" w:customStyle="1" w:styleId="ImportWordListStyleDefinition632953080">
    <w:name w:val="Import Word List Style Definition 63295308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Arial" w:eastAsia="Arial Unicode MS" w:hAnsi="Arial"/>
      <w:i/>
      <w:color w:val="106BBE"/>
      <w:sz w:val="24"/>
      <w:u w:color="106BBE"/>
    </w:rPr>
  </w:style>
  <w:style w:type="paragraph" w:customStyle="1" w:styleId="List0">
    <w:name w:val="List 0"/>
    <w:basedOn w:val="ImportWordListStyleDefinition1446267313"/>
    <w:autoRedefine/>
    <w:semiHidden/>
    <w:pPr>
      <w:numPr>
        <w:numId w:val="1"/>
      </w:numPr>
    </w:pPr>
  </w:style>
  <w:style w:type="paragraph" w:customStyle="1" w:styleId="ImportWordListStyleDefinition1446267313">
    <w:name w:val="Import Word List Style Definition 1446267313"/>
    <w:pPr>
      <w:numPr>
        <w:numId w:val="2"/>
      </w:numPr>
    </w:pPr>
  </w:style>
  <w:style w:type="paragraph" w:customStyle="1" w:styleId="List1">
    <w:name w:val="List 1"/>
    <w:basedOn w:val="ImportWordListStyleDefinition632953080"/>
    <w:autoRedefine/>
    <w:semiHidden/>
    <w:pPr>
      <w:numPr>
        <w:numId w:val="4"/>
      </w:numPr>
    </w:pPr>
  </w:style>
  <w:style w:type="paragraph" w:customStyle="1" w:styleId="ImportWordListStyleDefinition632953080">
    <w:name w:val="Import Word List Style Definition 6329530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9573</Words>
  <Characters>54570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(ПК) С "МРИО"</Company>
  <LinksUpToDate>false</LinksUpToDate>
  <CharactersWithSpaces>64015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2014-02-05T11:31:00Z</dcterms:created>
  <dcterms:modified xsi:type="dcterms:W3CDTF">2014-02-05T11:31:00Z</dcterms:modified>
</cp:coreProperties>
</file>